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2F277" w14:textId="77777777" w:rsidR="004A0D6A" w:rsidRPr="0082134E" w:rsidRDefault="004A0D6A" w:rsidP="004A0D6A">
      <w:pPr>
        <w:spacing w:before="300" w:after="140"/>
        <w:jc w:val="center"/>
        <w:rPr>
          <w:sz w:val="28"/>
          <w:szCs w:val="28"/>
          <w:u w:val="single"/>
        </w:rPr>
      </w:pPr>
      <w:r w:rsidRPr="0082134E">
        <w:rPr>
          <w:b/>
          <w:bCs/>
          <w:sz w:val="32"/>
          <w:szCs w:val="32"/>
          <w:u w:val="single"/>
        </w:rPr>
        <w:t>SRH Coordinator</w:t>
      </w:r>
    </w:p>
    <w:p w14:paraId="2D6CA223" w14:textId="77777777" w:rsidR="004A0D6A" w:rsidRDefault="004A0D6A" w:rsidP="004A0D6A">
      <w:pPr>
        <w:spacing w:before="160" w:after="60"/>
      </w:pPr>
      <w:r>
        <w:rPr>
          <w:b/>
          <w:bCs/>
          <w:sz w:val="21"/>
          <w:szCs w:val="21"/>
        </w:rPr>
        <w:t xml:space="preserve">A. Sexual &amp; Reproductive Health (SRH) Core Knowledge </w:t>
      </w:r>
    </w:p>
    <w:p w14:paraId="3B94E990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  <w:sectPr w:rsidR="004A0D6A" w:rsidSect="004A0D6A"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5AD112C7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Reproductive health rights and the SRH framework</w:t>
      </w:r>
    </w:p>
    <w:p w14:paraId="21CA317D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Family planning methods and counseling</w:t>
      </w:r>
    </w:p>
    <w:p w14:paraId="64D9500A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Prevention and management of STIs/RTIs</w:t>
      </w:r>
    </w:p>
    <w:p w14:paraId="7FE08258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Safe motherhood and the maternal health continuum</w:t>
      </w:r>
    </w:p>
    <w:p w14:paraId="62F56DB1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Adolescent and youth SRH</w:t>
      </w:r>
    </w:p>
    <w:p w14:paraId="7C7E05B9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Linkages between GBV and SRH</w:t>
      </w:r>
    </w:p>
    <w:p w14:paraId="09AE9607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SRH in emergencies (Minimum Initial Service Package – MISP)</w:t>
      </w:r>
    </w:p>
    <w:p w14:paraId="09BE3BED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Post-abortion care (context-appropriate)</w:t>
      </w:r>
    </w:p>
    <w:p w14:paraId="620D9B1C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Cervical cancer screening basics</w:t>
      </w:r>
    </w:p>
    <w:p w14:paraId="3F045ADD" w14:textId="77777777" w:rsidR="004A0D6A" w:rsidRDefault="004A0D6A" w:rsidP="004A0D6A">
      <w:pPr>
        <w:spacing w:before="160" w:after="60"/>
        <w:rPr>
          <w:b/>
          <w:bCs/>
          <w:sz w:val="21"/>
          <w:szCs w:val="21"/>
        </w:rPr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251E9406" w14:textId="77777777" w:rsidR="004A0D6A" w:rsidRDefault="004A0D6A" w:rsidP="004A0D6A">
      <w:pPr>
        <w:spacing w:before="160" w:after="60"/>
      </w:pPr>
      <w:r>
        <w:rPr>
          <w:b/>
          <w:bCs/>
          <w:sz w:val="21"/>
          <w:szCs w:val="21"/>
        </w:rPr>
        <w:t xml:space="preserve">B. MNCH &amp; Maternal Health Integration </w:t>
      </w:r>
    </w:p>
    <w:p w14:paraId="21216573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193DBA42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Antenatal, intranatal, and postnatal care</w:t>
      </w:r>
    </w:p>
    <w:p w14:paraId="701F2268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Essential newborn care</w:t>
      </w:r>
    </w:p>
    <w:p w14:paraId="7577E4F7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Maternal and neonatal danger signs</w:t>
      </w:r>
    </w:p>
    <w:p w14:paraId="1397DB3C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Emergency Obstetric and Newborn Care (EmONC)</w:t>
      </w:r>
    </w:p>
    <w:p w14:paraId="43C237E1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Strategies for reducing maternal and neonatal mortality</w:t>
      </w:r>
    </w:p>
    <w:p w14:paraId="0CE69D97" w14:textId="77777777" w:rsidR="004A0D6A" w:rsidRDefault="004A0D6A" w:rsidP="004A0D6A">
      <w:pPr>
        <w:spacing w:before="160" w:after="60"/>
        <w:rPr>
          <w:b/>
          <w:bCs/>
          <w:sz w:val="21"/>
          <w:szCs w:val="21"/>
        </w:rPr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06385E16" w14:textId="77777777" w:rsidR="004A0D6A" w:rsidRDefault="004A0D6A" w:rsidP="004A0D6A">
      <w:pPr>
        <w:spacing w:before="160" w:after="60"/>
      </w:pPr>
      <w:r>
        <w:rPr>
          <w:b/>
          <w:bCs/>
          <w:sz w:val="21"/>
          <w:szCs w:val="21"/>
        </w:rPr>
        <w:t xml:space="preserve">C. Public Health &amp; Program Management </w:t>
      </w:r>
    </w:p>
    <w:p w14:paraId="3B7E1642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6F28B884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Program planning, design, and implementation</w:t>
      </w:r>
    </w:p>
    <w:p w14:paraId="083B984B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SRH/MNCH indicators and M&amp;E</w:t>
      </w:r>
    </w:p>
    <w:p w14:paraId="714E1DEE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Health systems strengthening</w:t>
      </w:r>
    </w:p>
    <w:p w14:paraId="5CDF2580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SRH commodity supply chain management</w:t>
      </w:r>
    </w:p>
    <w:p w14:paraId="77AE8B05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Quality improvement in SRH/MNCH services</w:t>
      </w:r>
    </w:p>
    <w:p w14:paraId="7E1831C1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Coordination with government health departments and donors (e.g., UNFPA)</w:t>
      </w:r>
    </w:p>
    <w:p w14:paraId="0139AB88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Basic budget and grant management</w:t>
      </w:r>
    </w:p>
    <w:p w14:paraId="1C7641F9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Human resource management for Program teams</w:t>
      </w:r>
    </w:p>
    <w:p w14:paraId="7FCD9E75" w14:textId="77777777" w:rsidR="004A0D6A" w:rsidRDefault="004A0D6A" w:rsidP="004A0D6A">
      <w:pPr>
        <w:spacing w:before="160" w:after="60"/>
        <w:rPr>
          <w:b/>
          <w:bCs/>
          <w:sz w:val="21"/>
          <w:szCs w:val="21"/>
        </w:rPr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0E44F245" w14:textId="77777777" w:rsidR="004A0D6A" w:rsidRDefault="004A0D6A" w:rsidP="004A0D6A">
      <w:pPr>
        <w:spacing w:before="160" w:after="60"/>
      </w:pPr>
      <w:r>
        <w:rPr>
          <w:b/>
          <w:bCs/>
          <w:sz w:val="21"/>
          <w:szCs w:val="21"/>
        </w:rPr>
        <w:t xml:space="preserve">D. Public Health Ethics, Policy &amp; Coordination </w:t>
      </w:r>
    </w:p>
    <w:p w14:paraId="060EF166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064F8F9A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National and provincial SRH/MNCH policies</w:t>
      </w:r>
    </w:p>
    <w:p w14:paraId="3544CD9B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International SRH frameworks (ICPD, SDGs, UNFPA mandate)</w:t>
      </w:r>
    </w:p>
    <w:p w14:paraId="2B9071CD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Research ethics and informed consent in public health</w:t>
      </w:r>
    </w:p>
    <w:p w14:paraId="5F6A8BAE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Stakeholder coordination and advocacy</w:t>
      </w:r>
    </w:p>
    <w:p w14:paraId="157D739F" w14:textId="77777777" w:rsidR="004A0D6A" w:rsidRDefault="004A0D6A" w:rsidP="004A0D6A">
      <w:pPr>
        <w:spacing w:before="160" w:after="60"/>
        <w:rPr>
          <w:b/>
          <w:bCs/>
          <w:sz w:val="21"/>
          <w:szCs w:val="21"/>
        </w:rPr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08C95356" w14:textId="77777777" w:rsidR="004A0D6A" w:rsidRDefault="004A0D6A" w:rsidP="004A0D6A">
      <w:pPr>
        <w:spacing w:before="160" w:after="60"/>
      </w:pPr>
      <w:r>
        <w:rPr>
          <w:b/>
          <w:bCs/>
          <w:sz w:val="21"/>
          <w:szCs w:val="21"/>
        </w:rPr>
        <w:t xml:space="preserve">E. Community Engagement &amp; Referral Systems </w:t>
      </w:r>
    </w:p>
    <w:p w14:paraId="2E8EC30A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35DD2456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Community-based SRH approaches</w:t>
      </w:r>
    </w:p>
    <w:p w14:paraId="7FC7B893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Referral pathways and service linkages</w:t>
      </w:r>
    </w:p>
    <w:p w14:paraId="2C00EE98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Behaviour change communication for SRH</w:t>
      </w:r>
    </w:p>
    <w:p w14:paraId="3ACDF531" w14:textId="77777777" w:rsidR="004A0D6A" w:rsidRDefault="004A0D6A" w:rsidP="004A0D6A">
      <w:pPr>
        <w:spacing w:before="160" w:after="60"/>
        <w:rPr>
          <w:b/>
          <w:bCs/>
          <w:sz w:val="21"/>
          <w:szCs w:val="21"/>
        </w:rPr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0A442694" w14:textId="77777777" w:rsidR="004A0D6A" w:rsidRDefault="004A0D6A" w:rsidP="004A0D6A">
      <w:pPr>
        <w:spacing w:before="160" w:after="60"/>
      </w:pPr>
      <w:r>
        <w:rPr>
          <w:b/>
          <w:bCs/>
          <w:sz w:val="21"/>
          <w:szCs w:val="21"/>
        </w:rPr>
        <w:t xml:space="preserve">F. General Knowledge &amp; Current Affairs </w:t>
      </w:r>
    </w:p>
    <w:p w14:paraId="7388C412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60D6CB3E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Basic health-related national Programs</w:t>
      </w:r>
    </w:p>
    <w:p w14:paraId="2B3FE829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Pakistan health system</w:t>
      </w:r>
    </w:p>
    <w:p w14:paraId="4DBA302E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Basic ethics and professional responsibilities</w:t>
      </w:r>
    </w:p>
    <w:p w14:paraId="7AD732E4" w14:textId="77777777" w:rsidR="004A0D6A" w:rsidRDefault="004A0D6A" w:rsidP="004A0D6A">
      <w:pPr>
        <w:spacing w:before="160" w:after="60"/>
        <w:rPr>
          <w:b/>
          <w:bCs/>
          <w:sz w:val="21"/>
          <w:szCs w:val="21"/>
        </w:rPr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2CC86165" w14:textId="77777777" w:rsidR="004A0D6A" w:rsidRDefault="004A0D6A" w:rsidP="004A0D6A">
      <w:pPr>
        <w:spacing w:before="160" w:after="60"/>
      </w:pPr>
      <w:r>
        <w:rPr>
          <w:b/>
          <w:bCs/>
          <w:sz w:val="21"/>
          <w:szCs w:val="21"/>
        </w:rPr>
        <w:t>G. English &amp; Communication</w:t>
      </w:r>
    </w:p>
    <w:p w14:paraId="1E4D303E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1240781E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Grammar</w:t>
      </w:r>
    </w:p>
    <w:p w14:paraId="4E4CD636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Vocabulary</w:t>
      </w:r>
    </w:p>
    <w:p w14:paraId="74C2C21C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Sentence correction</w:t>
      </w:r>
    </w:p>
    <w:p w14:paraId="6E9DACF9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Reading comprehension</w:t>
      </w:r>
    </w:p>
    <w:p w14:paraId="3201AF97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Professional/technical terminology relevant to the role</w:t>
      </w:r>
    </w:p>
    <w:p w14:paraId="05B9F353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Communication with colleagues, communities, and stakeholders</w:t>
      </w:r>
    </w:p>
    <w:p w14:paraId="49B864DC" w14:textId="77777777" w:rsidR="004A0D6A" w:rsidRDefault="004A0D6A" w:rsidP="004A0D6A">
      <w:pPr>
        <w:spacing w:before="160" w:after="60"/>
        <w:rPr>
          <w:b/>
          <w:bCs/>
          <w:sz w:val="21"/>
          <w:szCs w:val="21"/>
        </w:rPr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42021E1E" w14:textId="77777777" w:rsidR="004A0D6A" w:rsidRDefault="004A0D6A" w:rsidP="004A0D6A">
      <w:pPr>
        <w:spacing w:before="160" w:after="60"/>
      </w:pPr>
      <w:r>
        <w:rPr>
          <w:b/>
          <w:bCs/>
          <w:sz w:val="21"/>
          <w:szCs w:val="21"/>
        </w:rPr>
        <w:t xml:space="preserve">H. Computer / IT </w:t>
      </w:r>
    </w:p>
    <w:p w14:paraId="664A48B3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4AD3F922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MS Office (Word, Excel, PowerPoint)</w:t>
      </w:r>
    </w:p>
    <w:p w14:paraId="41095BBA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Program reporting and data tools</w:t>
      </w:r>
    </w:p>
    <w:p w14:paraId="1F10C843" w14:textId="7777777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</w:pPr>
      <w:r>
        <w:t>Presentation and donor-reporting skills</w:t>
      </w:r>
    </w:p>
    <w:p w14:paraId="54C19888" w14:textId="0786BD47" w:rsidR="004A0D6A" w:rsidRDefault="004A0D6A" w:rsidP="004A0D6A">
      <w:pPr>
        <w:pStyle w:val="ListParagraph"/>
        <w:numPr>
          <w:ilvl w:val="0"/>
          <w:numId w:val="1"/>
        </w:numPr>
        <w:spacing w:after="30"/>
        <w:contextualSpacing w:val="0"/>
        <w:sectPr w:rsidR="004A0D6A" w:rsidSect="004A0D6A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  <w:r>
        <w:t>Email and official correspondence</w:t>
      </w:r>
    </w:p>
    <w:p w14:paraId="22058D3F" w14:textId="3F555B15" w:rsidR="004A0D6A" w:rsidRDefault="004A0D6A" w:rsidP="004A0D6A"/>
    <w:p w14:paraId="71F6D77F" w14:textId="77777777" w:rsidR="00E74156" w:rsidRDefault="00E74156"/>
    <w:sectPr w:rsidR="00E741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7638E"/>
    <w:multiLevelType w:val="hybridMultilevel"/>
    <w:tmpl w:val="0A9E9894"/>
    <w:lvl w:ilvl="0" w:tplc="D01A3630">
      <w:start w:val="1"/>
      <w:numFmt w:val="bullet"/>
      <w:lvlText w:val="●"/>
      <w:lvlJc w:val="left"/>
      <w:pPr>
        <w:ind w:left="720" w:hanging="360"/>
      </w:pPr>
    </w:lvl>
    <w:lvl w:ilvl="1" w:tplc="217E3904">
      <w:start w:val="1"/>
      <w:numFmt w:val="bullet"/>
      <w:lvlText w:val="○"/>
      <w:lvlJc w:val="left"/>
      <w:pPr>
        <w:ind w:left="1440" w:hanging="360"/>
      </w:pPr>
    </w:lvl>
    <w:lvl w:ilvl="2" w:tplc="C2F600E6">
      <w:start w:val="1"/>
      <w:numFmt w:val="bullet"/>
      <w:lvlText w:val="■"/>
      <w:lvlJc w:val="left"/>
      <w:pPr>
        <w:ind w:left="2160" w:hanging="360"/>
      </w:pPr>
    </w:lvl>
    <w:lvl w:ilvl="3" w:tplc="B87039B6">
      <w:start w:val="1"/>
      <w:numFmt w:val="bullet"/>
      <w:lvlText w:val="●"/>
      <w:lvlJc w:val="left"/>
      <w:pPr>
        <w:ind w:left="2880" w:hanging="360"/>
      </w:pPr>
    </w:lvl>
    <w:lvl w:ilvl="4" w:tplc="623C2DF8">
      <w:start w:val="1"/>
      <w:numFmt w:val="bullet"/>
      <w:lvlText w:val="○"/>
      <w:lvlJc w:val="left"/>
      <w:pPr>
        <w:ind w:left="3600" w:hanging="360"/>
      </w:pPr>
    </w:lvl>
    <w:lvl w:ilvl="5" w:tplc="D0C0D064">
      <w:start w:val="1"/>
      <w:numFmt w:val="bullet"/>
      <w:lvlText w:val="■"/>
      <w:lvlJc w:val="left"/>
      <w:pPr>
        <w:ind w:left="4320" w:hanging="360"/>
      </w:pPr>
    </w:lvl>
    <w:lvl w:ilvl="6" w:tplc="447817FE">
      <w:start w:val="1"/>
      <w:numFmt w:val="bullet"/>
      <w:lvlText w:val="●"/>
      <w:lvlJc w:val="left"/>
      <w:pPr>
        <w:ind w:left="5040" w:hanging="360"/>
      </w:pPr>
    </w:lvl>
    <w:lvl w:ilvl="7" w:tplc="CABE8BD2">
      <w:start w:val="1"/>
      <w:numFmt w:val="bullet"/>
      <w:lvlText w:val="●"/>
      <w:lvlJc w:val="left"/>
      <w:pPr>
        <w:ind w:left="5760" w:hanging="360"/>
      </w:pPr>
    </w:lvl>
    <w:lvl w:ilvl="8" w:tplc="63AA078E">
      <w:start w:val="1"/>
      <w:numFmt w:val="bullet"/>
      <w:lvlText w:val="●"/>
      <w:lvlJc w:val="left"/>
      <w:pPr>
        <w:ind w:left="6480" w:hanging="360"/>
      </w:pPr>
    </w:lvl>
  </w:abstractNum>
  <w:num w:numId="1" w16cid:durableId="17052551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84"/>
    <w:rsid w:val="00047C46"/>
    <w:rsid w:val="004A0D6A"/>
    <w:rsid w:val="00B55384"/>
    <w:rsid w:val="00DA0C58"/>
    <w:rsid w:val="00E7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99F6A"/>
  <w15:chartTrackingRefBased/>
  <w15:docId w15:val="{912F6F7C-1FF3-4284-9EB9-24DC3369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D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5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38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3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38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3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3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3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3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3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3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3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38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38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3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3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3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3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3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3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3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384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B553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38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3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38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38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2</cp:revision>
  <dcterms:created xsi:type="dcterms:W3CDTF">2026-08-21T07:48:00Z</dcterms:created>
  <dcterms:modified xsi:type="dcterms:W3CDTF">2026-08-21T07:49:00Z</dcterms:modified>
</cp:coreProperties>
</file>