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D80CB" w14:textId="77777777" w:rsidR="00AB4162" w:rsidRDefault="00000000">
      <w:pPr>
        <w:jc w:val="center"/>
      </w:pPr>
      <w:r>
        <w:rPr>
          <w:b/>
          <w:sz w:val="28"/>
        </w:rPr>
        <w:t>PEOPLE'S PRIMARY HEALTHCARE INITIATIVE (PPHI), BALOCHISTAN</w:t>
      </w:r>
    </w:p>
    <w:p w14:paraId="2502E92E" w14:textId="77777777" w:rsidR="00AB4162" w:rsidRDefault="00000000">
      <w:pPr>
        <w:jc w:val="center"/>
      </w:pPr>
      <w:r>
        <w:rPr>
          <w:b/>
          <w:sz w:val="30"/>
        </w:rPr>
        <w:t>SYLLABUS / COURSE OUTLINE</w:t>
      </w:r>
    </w:p>
    <w:p w14:paraId="7BB83FE1" w14:textId="77777777" w:rsidR="00AB4162" w:rsidRDefault="00000000">
      <w:pPr>
        <w:jc w:val="center"/>
      </w:pPr>
      <w:r>
        <w:rPr>
          <w:i/>
        </w:rPr>
        <w:t>Recruitment Test — Legal Advisor &amp; Internal Audit Officer</w:t>
      </w:r>
    </w:p>
    <w:p w14:paraId="3B568610" w14:textId="77777777" w:rsidR="00AB4162" w:rsidRDefault="00000000">
      <w:pPr>
        <w:pStyle w:val="Heading1"/>
      </w:pPr>
      <w:r>
        <w:t>B. Legal Advisor — Professional / Subject-Specific Knowledge</w:t>
      </w:r>
    </w:p>
    <w:p w14:paraId="0161E62A" w14:textId="77777777" w:rsidR="00AB4162" w:rsidRDefault="00000000">
      <w:r>
        <w:t>Questions should test practical legal understanding and application rather than rote memorization, with emphasis on contract drafting/review, litigation, corporate law, legal advisory, regulatory compliance and organizational matters relevant to PPHI.</w:t>
      </w:r>
    </w:p>
    <w:tbl>
      <w:tblPr>
        <w:tblStyle w:val="TableGrid"/>
        <w:tblW w:w="0" w:type="auto"/>
        <w:jc w:val="center"/>
        <w:tblLook w:val="04A0" w:firstRow="1" w:lastRow="0" w:firstColumn="1" w:lastColumn="0" w:noHBand="0" w:noVBand="1"/>
      </w:tblPr>
      <w:tblGrid>
        <w:gridCol w:w="5040"/>
        <w:gridCol w:w="5040"/>
      </w:tblGrid>
      <w:tr w:rsidR="00AB4162" w14:paraId="49970F16" w14:textId="77777777">
        <w:trPr>
          <w:jc w:val="center"/>
        </w:trPr>
        <w:tc>
          <w:tcPr>
            <w:tcW w:w="5040" w:type="dxa"/>
            <w:shd w:val="clear" w:color="auto" w:fill="D9EAF7"/>
          </w:tcPr>
          <w:p w14:paraId="23C77E46" w14:textId="77777777" w:rsidR="00AB4162" w:rsidRDefault="00000000">
            <w:pPr>
              <w:spacing w:after="0" w:line="240" w:lineRule="auto"/>
            </w:pPr>
            <w:r>
              <w:t>Area</w:t>
            </w:r>
          </w:p>
        </w:tc>
        <w:tc>
          <w:tcPr>
            <w:tcW w:w="5040" w:type="dxa"/>
            <w:shd w:val="clear" w:color="auto" w:fill="D9EAF7"/>
          </w:tcPr>
          <w:p w14:paraId="374412EE" w14:textId="77777777" w:rsidR="00AB4162" w:rsidRDefault="00000000">
            <w:pPr>
              <w:spacing w:after="0" w:line="240" w:lineRule="auto"/>
            </w:pPr>
            <w:r>
              <w:t>Coverage</w:t>
            </w:r>
          </w:p>
        </w:tc>
      </w:tr>
      <w:tr w:rsidR="00AB4162" w14:paraId="5A41C049" w14:textId="77777777">
        <w:trPr>
          <w:jc w:val="center"/>
        </w:trPr>
        <w:tc>
          <w:tcPr>
            <w:tcW w:w="5040" w:type="dxa"/>
          </w:tcPr>
          <w:p w14:paraId="432AA040" w14:textId="77777777" w:rsidR="00AB4162" w:rsidRDefault="00000000">
            <w:pPr>
              <w:spacing w:after="0" w:line="240" w:lineRule="auto"/>
            </w:pPr>
            <w:r>
              <w:t>1. Constitution &amp; Legal System of Pakistan</w:t>
            </w:r>
          </w:p>
        </w:tc>
        <w:tc>
          <w:tcPr>
            <w:tcW w:w="5040" w:type="dxa"/>
          </w:tcPr>
          <w:p w14:paraId="5552883F" w14:textId="77777777" w:rsidR="00AB4162" w:rsidRDefault="00000000">
            <w:pPr>
              <w:spacing w:after="0" w:line="240" w:lineRule="auto"/>
            </w:pPr>
            <w:r>
              <w:t>Constitution of Pakistan, fundamental rights, federal/provincial legislative framework, constitutional institutions, judicial hierarchy, wit</w:t>
            </w:r>
            <w:r w:rsidR="00766712">
              <w:t>h</w:t>
            </w:r>
            <w:r>
              <w:t xml:space="preserve"> jurisdiction and basic constitutional remedies.</w:t>
            </w:r>
          </w:p>
        </w:tc>
      </w:tr>
      <w:tr w:rsidR="00AB4162" w14:paraId="4959BDEF" w14:textId="77777777">
        <w:trPr>
          <w:jc w:val="center"/>
        </w:trPr>
        <w:tc>
          <w:tcPr>
            <w:tcW w:w="5040" w:type="dxa"/>
          </w:tcPr>
          <w:p w14:paraId="277AA3D6" w14:textId="77777777" w:rsidR="00AB4162" w:rsidRDefault="00000000">
            <w:pPr>
              <w:spacing w:after="0" w:line="240" w:lineRule="auto"/>
            </w:pPr>
            <w:r>
              <w:t>2. Civil Law &amp; Civil Procedure</w:t>
            </w:r>
          </w:p>
        </w:tc>
        <w:tc>
          <w:tcPr>
            <w:tcW w:w="5040" w:type="dxa"/>
          </w:tcPr>
          <w:p w14:paraId="26EC1120" w14:textId="77777777" w:rsidR="00AB4162" w:rsidRDefault="00000000">
            <w:pPr>
              <w:spacing w:after="0" w:line="240" w:lineRule="auto"/>
            </w:pPr>
            <w:r>
              <w:t>Civil Procedure Code, 1908, jurisdiction, pleadings, institution of suits, interim relief, injunctions, evidence in civil proceedings, judgments, decrees and execution, appeals, review and revision.</w:t>
            </w:r>
          </w:p>
        </w:tc>
      </w:tr>
      <w:tr w:rsidR="00AB4162" w14:paraId="75C2785D" w14:textId="77777777">
        <w:trPr>
          <w:jc w:val="center"/>
        </w:trPr>
        <w:tc>
          <w:tcPr>
            <w:tcW w:w="5040" w:type="dxa"/>
          </w:tcPr>
          <w:p w14:paraId="12D85457" w14:textId="77777777" w:rsidR="00AB4162" w:rsidRDefault="00000000">
            <w:pPr>
              <w:spacing w:after="0" w:line="240" w:lineRule="auto"/>
            </w:pPr>
            <w:r>
              <w:t>3. Criminal Law &amp; Criminal Procedure</w:t>
            </w:r>
          </w:p>
        </w:tc>
        <w:tc>
          <w:tcPr>
            <w:tcW w:w="5040" w:type="dxa"/>
          </w:tcPr>
          <w:p w14:paraId="10285145" w14:textId="77777777" w:rsidR="00AB4162" w:rsidRDefault="00000000">
            <w:pPr>
              <w:spacing w:after="0" w:line="240" w:lineRule="auto"/>
            </w:pPr>
            <w:r>
              <w:t>Pakistan Penal Code, 1860, Code of Criminal Procedure, 1898, FIR/investigation, arrest, remand and bail, trial stages, cognizance, appeals and revisions, basic criminal liability.</w:t>
            </w:r>
          </w:p>
        </w:tc>
      </w:tr>
      <w:tr w:rsidR="00AB4162" w14:paraId="40397B6B" w14:textId="77777777">
        <w:trPr>
          <w:jc w:val="center"/>
        </w:trPr>
        <w:tc>
          <w:tcPr>
            <w:tcW w:w="5040" w:type="dxa"/>
          </w:tcPr>
          <w:p w14:paraId="40907FBF" w14:textId="77777777" w:rsidR="00AB4162" w:rsidRDefault="00000000">
            <w:pPr>
              <w:spacing w:after="0" w:line="240" w:lineRule="auto"/>
            </w:pPr>
            <w:r>
              <w:t>4. Law of Evidence &amp; Limitation</w:t>
            </w:r>
          </w:p>
        </w:tc>
        <w:tc>
          <w:tcPr>
            <w:tcW w:w="5040" w:type="dxa"/>
          </w:tcPr>
          <w:p w14:paraId="028194E3" w14:textId="77777777" w:rsidR="00AB4162" w:rsidRDefault="00000000">
            <w:pPr>
              <w:spacing w:after="0" w:line="240" w:lineRule="auto"/>
            </w:pPr>
            <w:r>
              <w:t>Qanun-e-Shahadat Order, 1984, relevancy and admissibility, burden of proof, documentary/oral evidence, presumptions, limitation principles and important limitation concepts.</w:t>
            </w:r>
          </w:p>
        </w:tc>
      </w:tr>
      <w:tr w:rsidR="00AB4162" w14:paraId="60203642" w14:textId="77777777">
        <w:trPr>
          <w:jc w:val="center"/>
        </w:trPr>
        <w:tc>
          <w:tcPr>
            <w:tcW w:w="5040" w:type="dxa"/>
          </w:tcPr>
          <w:p w14:paraId="78407F21" w14:textId="77777777" w:rsidR="00AB4162" w:rsidRDefault="00000000">
            <w:pPr>
              <w:spacing w:after="0" w:line="240" w:lineRule="auto"/>
            </w:pPr>
            <w:r>
              <w:t>5. Contract &amp; Commercial Law</w:t>
            </w:r>
          </w:p>
        </w:tc>
        <w:tc>
          <w:tcPr>
            <w:tcW w:w="5040" w:type="dxa"/>
          </w:tcPr>
          <w:p w14:paraId="5D59FBDD" w14:textId="77777777" w:rsidR="00AB4162" w:rsidRDefault="00000000">
            <w:pPr>
              <w:spacing w:after="0" w:line="240" w:lineRule="auto"/>
            </w:pPr>
            <w:r>
              <w:t>Contract Act, 1872, offer and acceptance, consideration, capacity, breach and remedies, indemnity and guarantee, agency, sale of goods and commercial transactions, contract interpretation.</w:t>
            </w:r>
          </w:p>
        </w:tc>
      </w:tr>
      <w:tr w:rsidR="00AB4162" w14:paraId="2EF6482F" w14:textId="77777777">
        <w:trPr>
          <w:jc w:val="center"/>
        </w:trPr>
        <w:tc>
          <w:tcPr>
            <w:tcW w:w="5040" w:type="dxa"/>
          </w:tcPr>
          <w:p w14:paraId="4ECE6E2C" w14:textId="77777777" w:rsidR="00AB4162" w:rsidRDefault="00000000">
            <w:pPr>
              <w:spacing w:after="0" w:line="240" w:lineRule="auto"/>
            </w:pPr>
            <w:r>
              <w:t>6. Specific Relief, Property &amp; Remedies</w:t>
            </w:r>
          </w:p>
        </w:tc>
        <w:tc>
          <w:tcPr>
            <w:tcW w:w="5040" w:type="dxa"/>
          </w:tcPr>
          <w:p w14:paraId="606572E9" w14:textId="77777777" w:rsidR="00AB4162" w:rsidRDefault="00000000">
            <w:pPr>
              <w:spacing w:after="0" w:line="240" w:lineRule="auto"/>
            </w:pPr>
            <w:r>
              <w:t>Specific Relief Act, 1877, declarations, specific performance, injunctions, possession and related civil remedies, basic property/transfer law relevant to organizational matters.</w:t>
            </w:r>
          </w:p>
        </w:tc>
      </w:tr>
      <w:tr w:rsidR="00AB4162" w14:paraId="20C07993" w14:textId="77777777">
        <w:trPr>
          <w:jc w:val="center"/>
        </w:trPr>
        <w:tc>
          <w:tcPr>
            <w:tcW w:w="5040" w:type="dxa"/>
          </w:tcPr>
          <w:p w14:paraId="393C105C" w14:textId="77777777" w:rsidR="00AB4162" w:rsidRDefault="00000000">
            <w:pPr>
              <w:spacing w:after="0" w:line="240" w:lineRule="auto"/>
            </w:pPr>
            <w:r>
              <w:t>7. Corporate / Company &amp; Regulatory Law</w:t>
            </w:r>
          </w:p>
        </w:tc>
        <w:tc>
          <w:tcPr>
            <w:tcW w:w="5040" w:type="dxa"/>
          </w:tcPr>
          <w:p w14:paraId="504C78BB" w14:textId="77777777" w:rsidR="00AB4162" w:rsidRDefault="00000000">
            <w:pPr>
              <w:spacing w:after="0" w:line="240" w:lineRule="auto"/>
            </w:pPr>
            <w:r>
              <w:t>Companies Act, 2017, corporate structure, directors and officers, meetings/resolutions, statutory records and filings, corporate governance, SECP framework, basic understanding of not-for-profit/company structures.</w:t>
            </w:r>
          </w:p>
        </w:tc>
      </w:tr>
      <w:tr w:rsidR="00AB4162" w14:paraId="26DBC756" w14:textId="77777777">
        <w:trPr>
          <w:jc w:val="center"/>
        </w:trPr>
        <w:tc>
          <w:tcPr>
            <w:tcW w:w="5040" w:type="dxa"/>
          </w:tcPr>
          <w:p w14:paraId="1304B580" w14:textId="45258A1D" w:rsidR="00AB4162" w:rsidRDefault="00000000">
            <w:pPr>
              <w:spacing w:after="0" w:line="240" w:lineRule="auto"/>
            </w:pPr>
            <w:r>
              <w:t xml:space="preserve">8. Employment, </w:t>
            </w:r>
            <w:r w:rsidR="00D21E6D">
              <w:t>Labor</w:t>
            </w:r>
            <w:r>
              <w:t xml:space="preserve"> &amp; Service Matters</w:t>
            </w:r>
          </w:p>
        </w:tc>
        <w:tc>
          <w:tcPr>
            <w:tcW w:w="5040" w:type="dxa"/>
          </w:tcPr>
          <w:p w14:paraId="36B3B2B6" w14:textId="77777777" w:rsidR="00AB4162" w:rsidRDefault="00000000">
            <w:pPr>
              <w:spacing w:after="0" w:line="240" w:lineRule="auto"/>
            </w:pPr>
            <w:r>
              <w:t>Employment contracts, workplace discipline, termination and separation, labour/service-law concepts, statutory employee obligations, harassment/workplace conduct framework, dispute and grievance handling.</w:t>
            </w:r>
          </w:p>
        </w:tc>
      </w:tr>
      <w:tr w:rsidR="00AB4162" w14:paraId="4BBF9E4A" w14:textId="77777777">
        <w:trPr>
          <w:jc w:val="center"/>
        </w:trPr>
        <w:tc>
          <w:tcPr>
            <w:tcW w:w="5040" w:type="dxa"/>
          </w:tcPr>
          <w:p w14:paraId="587AF233" w14:textId="77777777" w:rsidR="00AB4162" w:rsidRDefault="00000000">
            <w:pPr>
              <w:spacing w:after="0" w:line="240" w:lineRule="auto"/>
            </w:pPr>
            <w:r>
              <w:t>9. Procurement, Financial &amp; Tax-Related Legal Matters</w:t>
            </w:r>
          </w:p>
        </w:tc>
        <w:tc>
          <w:tcPr>
            <w:tcW w:w="5040" w:type="dxa"/>
          </w:tcPr>
          <w:p w14:paraId="7FAA850F" w14:textId="77777777" w:rsidR="00AB4162" w:rsidRDefault="00000000">
            <w:pPr>
              <w:spacing w:after="0" w:line="240" w:lineRule="auto"/>
            </w:pPr>
            <w:r>
              <w:t>Organizational procurement principles, tendering and contracting, bid/security concepts, performance/default issues, basic income tax, sales tax and withholding-tax legal concepts affecting contracts and payments.</w:t>
            </w:r>
          </w:p>
        </w:tc>
      </w:tr>
      <w:tr w:rsidR="00AB4162" w14:paraId="4E19F5A8" w14:textId="77777777">
        <w:trPr>
          <w:jc w:val="center"/>
        </w:trPr>
        <w:tc>
          <w:tcPr>
            <w:tcW w:w="5040" w:type="dxa"/>
          </w:tcPr>
          <w:p w14:paraId="112850E1" w14:textId="77777777" w:rsidR="00AB4162" w:rsidRDefault="00000000">
            <w:pPr>
              <w:spacing w:after="0" w:line="240" w:lineRule="auto"/>
            </w:pPr>
            <w:r>
              <w:t>10. Legal Drafting, Advisory &amp; Litigation Management</w:t>
            </w:r>
          </w:p>
        </w:tc>
        <w:tc>
          <w:tcPr>
            <w:tcW w:w="5040" w:type="dxa"/>
          </w:tcPr>
          <w:p w14:paraId="52B392F7" w14:textId="77777777" w:rsidR="00AB4162" w:rsidRDefault="00000000">
            <w:pPr>
              <w:spacing w:after="0" w:line="240" w:lineRule="auto"/>
            </w:pPr>
            <w:r>
              <w:t>Drafting/review of agreements, notices, opinions, replies, pleadings and legal correspondence, legal research, case-law application, litigation tracking, settlement/ADR, risk-based legal advice.</w:t>
            </w:r>
          </w:p>
        </w:tc>
      </w:tr>
      <w:tr w:rsidR="00AB4162" w14:paraId="3AF9B793" w14:textId="77777777">
        <w:trPr>
          <w:jc w:val="center"/>
        </w:trPr>
        <w:tc>
          <w:tcPr>
            <w:tcW w:w="5040" w:type="dxa"/>
          </w:tcPr>
          <w:p w14:paraId="54F20566" w14:textId="77777777" w:rsidR="00AB4162" w:rsidRDefault="00000000">
            <w:pPr>
              <w:spacing w:after="0" w:line="240" w:lineRule="auto"/>
            </w:pPr>
            <w:r>
              <w:t>11. Health-Sector &amp; Organizational Legal Issues</w:t>
            </w:r>
          </w:p>
        </w:tc>
        <w:tc>
          <w:tcPr>
            <w:tcW w:w="5040" w:type="dxa"/>
          </w:tcPr>
          <w:p w14:paraId="63C5EBF3" w14:textId="77777777" w:rsidR="00AB4162" w:rsidRDefault="00000000">
            <w:pPr>
              <w:spacing w:after="0" w:line="240" w:lineRule="auto"/>
            </w:pPr>
            <w:r>
              <w:t xml:space="preserve">Legal issues in healthcare service delivery, </w:t>
            </w:r>
            <w:r>
              <w:lastRenderedPageBreak/>
              <w:t>licensing/regulatory compliance, confidentiality and records, professional liability, MoUs with government/public entities, organizational policies, delegations and governance documents.</w:t>
            </w:r>
          </w:p>
        </w:tc>
      </w:tr>
      <w:tr w:rsidR="00AB4162" w14:paraId="6298628A" w14:textId="77777777">
        <w:trPr>
          <w:jc w:val="center"/>
        </w:trPr>
        <w:tc>
          <w:tcPr>
            <w:tcW w:w="5040" w:type="dxa"/>
          </w:tcPr>
          <w:p w14:paraId="19044444" w14:textId="77777777" w:rsidR="00AB4162" w:rsidRDefault="00000000">
            <w:pPr>
              <w:spacing w:after="0" w:line="240" w:lineRule="auto"/>
            </w:pPr>
            <w:r>
              <w:lastRenderedPageBreak/>
              <w:t>12. Professional Ethics &amp; Legal Reasoning</w:t>
            </w:r>
          </w:p>
        </w:tc>
        <w:tc>
          <w:tcPr>
            <w:tcW w:w="5040" w:type="dxa"/>
          </w:tcPr>
          <w:p w14:paraId="53BBB194" w14:textId="77777777" w:rsidR="00AB4162" w:rsidRDefault="00000000">
            <w:pPr>
              <w:spacing w:after="0" w:line="240" w:lineRule="auto"/>
            </w:pPr>
            <w:r>
              <w:t>Professional conduct, conflict of interest, confidentiality, independence, statutory interpretation, issue spotting, application of law to factual scenarios.</w:t>
            </w:r>
          </w:p>
        </w:tc>
      </w:tr>
    </w:tbl>
    <w:p w14:paraId="0B0937EE" w14:textId="77777777" w:rsidR="00AB4162" w:rsidRDefault="00000000">
      <w:pPr>
        <w:pStyle w:val="Heading1"/>
      </w:pPr>
      <w:r>
        <w:t>C. Internal Audit Officer — Professional / Subject-Specific Knowledge</w:t>
      </w:r>
    </w:p>
    <w:p w14:paraId="7BB3593C" w14:textId="328C0612" w:rsidR="00AB4162" w:rsidRDefault="00000000">
      <w:r>
        <w:t xml:space="preserve">The professional syllabus is specifically designed for an Internal Audit Officer. It emphasizes risk-based internal auditing, internal controls, governance, compliance, transaction testing, procurement/payment audit, fraud risk, IT controls, audit reporting and follow-up. Accounting and Financial Management should remain supportive of audit work and must not exceed </w:t>
      </w:r>
      <w:r w:rsidR="007267A4">
        <w:t>25</w:t>
      </w:r>
      <w:r>
        <w:t xml:space="preserve">% of the 80 professional questions (i.e., a maximum of </w:t>
      </w:r>
      <w:r w:rsidR="007267A4">
        <w:t>20</w:t>
      </w:r>
      <w:r>
        <w:t xml:space="preserve"> questions).</w:t>
      </w:r>
    </w:p>
    <w:tbl>
      <w:tblPr>
        <w:tblStyle w:val="TableGrid"/>
        <w:tblW w:w="0" w:type="auto"/>
        <w:jc w:val="center"/>
        <w:tblLook w:val="04A0" w:firstRow="1" w:lastRow="0" w:firstColumn="1" w:lastColumn="0" w:noHBand="0" w:noVBand="1"/>
      </w:tblPr>
      <w:tblGrid>
        <w:gridCol w:w="5040"/>
        <w:gridCol w:w="5040"/>
      </w:tblGrid>
      <w:tr w:rsidR="00AB4162" w14:paraId="793078D6" w14:textId="77777777">
        <w:trPr>
          <w:jc w:val="center"/>
        </w:trPr>
        <w:tc>
          <w:tcPr>
            <w:tcW w:w="5040" w:type="dxa"/>
            <w:shd w:val="clear" w:color="auto" w:fill="D9EAF7"/>
          </w:tcPr>
          <w:p w14:paraId="2A734058" w14:textId="77777777" w:rsidR="00AB4162" w:rsidRDefault="00000000">
            <w:pPr>
              <w:spacing w:after="0" w:line="240" w:lineRule="auto"/>
            </w:pPr>
            <w:r>
              <w:t>Area</w:t>
            </w:r>
          </w:p>
        </w:tc>
        <w:tc>
          <w:tcPr>
            <w:tcW w:w="5040" w:type="dxa"/>
            <w:shd w:val="clear" w:color="auto" w:fill="D9EAF7"/>
          </w:tcPr>
          <w:p w14:paraId="22783907" w14:textId="77777777" w:rsidR="00AB4162" w:rsidRDefault="00000000">
            <w:pPr>
              <w:spacing w:after="0" w:line="240" w:lineRule="auto"/>
            </w:pPr>
            <w:r>
              <w:t>Coverage</w:t>
            </w:r>
          </w:p>
        </w:tc>
      </w:tr>
      <w:tr w:rsidR="00AB4162" w14:paraId="66E146E8" w14:textId="77777777">
        <w:trPr>
          <w:jc w:val="center"/>
        </w:trPr>
        <w:tc>
          <w:tcPr>
            <w:tcW w:w="5040" w:type="dxa"/>
          </w:tcPr>
          <w:p w14:paraId="5398ABE4" w14:textId="77777777" w:rsidR="00AB4162" w:rsidRDefault="00000000">
            <w:pPr>
              <w:spacing w:after="0" w:line="240" w:lineRule="auto"/>
            </w:pPr>
            <w:r>
              <w:t>1. Internal Audit Fundamentals &amp; Risk-Based Methodology</w:t>
            </w:r>
          </w:p>
        </w:tc>
        <w:tc>
          <w:tcPr>
            <w:tcW w:w="5040" w:type="dxa"/>
          </w:tcPr>
          <w:p w14:paraId="2307374D" w14:textId="77777777" w:rsidR="00AB4162" w:rsidRDefault="00000000">
            <w:pPr>
              <w:spacing w:after="0" w:line="240" w:lineRule="auto"/>
            </w:pPr>
            <w:r>
              <w:t>Purpose and role of internal audit</w:t>
            </w:r>
            <w:r w:rsidR="00766712">
              <w:t>,</w:t>
            </w:r>
            <w:r>
              <w:t xml:space="preserve"> assurance and advisory services</w:t>
            </w:r>
            <w:r w:rsidR="00766712">
              <w:t>,</w:t>
            </w:r>
            <w:r>
              <w:t xml:space="preserve"> risk-based audit planning</w:t>
            </w:r>
            <w:r w:rsidR="00766712">
              <w:t>,</w:t>
            </w:r>
            <w:r>
              <w:t xml:space="preserve"> audit universe</w:t>
            </w:r>
            <w:r w:rsidR="00766712">
              <w:t>,</w:t>
            </w:r>
            <w:r>
              <w:t xml:space="preserve"> risk assessment</w:t>
            </w:r>
            <w:r w:rsidR="00766712">
              <w:t>,</w:t>
            </w:r>
            <w:r>
              <w:t xml:space="preserve"> materiality</w:t>
            </w:r>
            <w:r w:rsidR="00766712">
              <w:t>,</w:t>
            </w:r>
            <w:r>
              <w:t xml:space="preserve"> audit objectives</w:t>
            </w:r>
            <w:r w:rsidR="00766712">
              <w:t>,</w:t>
            </w:r>
            <w:r>
              <w:t xml:space="preserve"> audit scope</w:t>
            </w:r>
            <w:r w:rsidR="00766712">
              <w:t>,</w:t>
            </w:r>
            <w:r>
              <w:t xml:space="preserve"> sampling</w:t>
            </w:r>
            <w:r w:rsidR="00766712">
              <w:t>,</w:t>
            </w:r>
            <w:r>
              <w:t xml:space="preserve"> audit evidence</w:t>
            </w:r>
            <w:r w:rsidR="00766712">
              <w:t>,</w:t>
            </w:r>
            <w:r>
              <w:t xml:space="preserve"> audit trail</w:t>
            </w:r>
            <w:r w:rsidR="00766712">
              <w:t>,</w:t>
            </w:r>
            <w:r>
              <w:t xml:space="preserve"> working papers</w:t>
            </w:r>
            <w:r w:rsidR="00766712">
              <w:t>,</w:t>
            </w:r>
            <w:r>
              <w:t xml:space="preserve"> engagement documentation</w:t>
            </w:r>
            <w:r w:rsidR="00766712">
              <w:t>,</w:t>
            </w:r>
            <w:r>
              <w:t xml:space="preserve"> follow-up.</w:t>
            </w:r>
          </w:p>
        </w:tc>
      </w:tr>
      <w:tr w:rsidR="00AB4162" w14:paraId="33FEA522" w14:textId="77777777">
        <w:trPr>
          <w:jc w:val="center"/>
        </w:trPr>
        <w:tc>
          <w:tcPr>
            <w:tcW w:w="5040" w:type="dxa"/>
          </w:tcPr>
          <w:p w14:paraId="6B6A2C7D" w14:textId="77777777" w:rsidR="00AB4162" w:rsidRDefault="00000000">
            <w:pPr>
              <w:spacing w:after="0" w:line="240" w:lineRule="auto"/>
            </w:pPr>
            <w:r>
              <w:t>2. Internal Control Frameworks &amp; Control Evaluation</w:t>
            </w:r>
          </w:p>
        </w:tc>
        <w:tc>
          <w:tcPr>
            <w:tcW w:w="5040" w:type="dxa"/>
          </w:tcPr>
          <w:p w14:paraId="63399B10" w14:textId="77777777" w:rsidR="00AB4162" w:rsidRDefault="00000000">
            <w:pPr>
              <w:spacing w:after="0" w:line="240" w:lineRule="auto"/>
            </w:pPr>
            <w:r>
              <w:t>Control environment, risk assessment, control activities, information and communication, monitoring, segregation of duties, authorization, reconciliations, preventive and detective controls, control design vs. operating effectiveness, control deficiencies, management controls.</w:t>
            </w:r>
          </w:p>
        </w:tc>
      </w:tr>
      <w:tr w:rsidR="00AB4162" w14:paraId="7EAB79B0" w14:textId="77777777">
        <w:trPr>
          <w:jc w:val="center"/>
        </w:trPr>
        <w:tc>
          <w:tcPr>
            <w:tcW w:w="5040" w:type="dxa"/>
          </w:tcPr>
          <w:p w14:paraId="4B11C78B" w14:textId="77777777" w:rsidR="00AB4162" w:rsidRDefault="00000000">
            <w:pPr>
              <w:spacing w:after="0" w:line="240" w:lineRule="auto"/>
            </w:pPr>
            <w:r>
              <w:t>3. IIA Professional Practice &amp; Internal Audit Standards</w:t>
            </w:r>
          </w:p>
        </w:tc>
        <w:tc>
          <w:tcPr>
            <w:tcW w:w="5040" w:type="dxa"/>
          </w:tcPr>
          <w:p w14:paraId="0420F033" w14:textId="77777777" w:rsidR="00AB4162" w:rsidRDefault="00000000">
            <w:pPr>
              <w:spacing w:after="0" w:line="240" w:lineRule="auto"/>
            </w:pPr>
            <w:r>
              <w:t>IIA Global Internal Audit Standards / applicable professional principles, independence and objectivity, due professional care, confidentiality, engagement planning, fieldwork, evidence, findings, recommendations, reporting, quality assurance and improvement.</w:t>
            </w:r>
          </w:p>
        </w:tc>
      </w:tr>
      <w:tr w:rsidR="00AB4162" w14:paraId="00ADB4C4" w14:textId="77777777">
        <w:trPr>
          <w:jc w:val="center"/>
        </w:trPr>
        <w:tc>
          <w:tcPr>
            <w:tcW w:w="5040" w:type="dxa"/>
          </w:tcPr>
          <w:p w14:paraId="136858BD" w14:textId="77777777" w:rsidR="00AB4162" w:rsidRDefault="00000000">
            <w:pPr>
              <w:spacing w:after="0" w:line="240" w:lineRule="auto"/>
            </w:pPr>
            <w:r>
              <w:t>4. Governance, Risk Management &amp; Compliance (GRC)</w:t>
            </w:r>
          </w:p>
        </w:tc>
        <w:tc>
          <w:tcPr>
            <w:tcW w:w="5040" w:type="dxa"/>
          </w:tcPr>
          <w:p w14:paraId="2521119F" w14:textId="77777777" w:rsidR="00AB4162" w:rsidRDefault="00000000">
            <w:pPr>
              <w:spacing w:after="0" w:line="240" w:lineRule="auto"/>
            </w:pPr>
            <w:r>
              <w:t>Governance structures, delegated authorities, risk registers, compliance frameworks, policies and procedures, accountability, oversight, risk appetite, three lines model, monitoring and escalation of significant risks.</w:t>
            </w:r>
          </w:p>
        </w:tc>
      </w:tr>
      <w:tr w:rsidR="00AB4162" w14:paraId="0FBEA5B7" w14:textId="77777777">
        <w:trPr>
          <w:jc w:val="center"/>
        </w:trPr>
        <w:tc>
          <w:tcPr>
            <w:tcW w:w="5040" w:type="dxa"/>
          </w:tcPr>
          <w:p w14:paraId="22FC78EE" w14:textId="77777777" w:rsidR="00AB4162" w:rsidRDefault="00000000">
            <w:pPr>
              <w:spacing w:after="0" w:line="240" w:lineRule="auto"/>
            </w:pPr>
            <w:r>
              <w:t>5. Audit Planning, Fieldwork &amp; Audit Evidence</w:t>
            </w:r>
          </w:p>
        </w:tc>
        <w:tc>
          <w:tcPr>
            <w:tcW w:w="5040" w:type="dxa"/>
          </w:tcPr>
          <w:p w14:paraId="4AB7FF01" w14:textId="77777777" w:rsidR="00AB4162" w:rsidRDefault="00000000">
            <w:pPr>
              <w:spacing w:after="0" w:line="240" w:lineRule="auto"/>
            </w:pPr>
            <w:r>
              <w:t>Annual/risk-based audit plans, engagement programs, walkthroughs, interviews, observation, inspection, confirmation, analytical procedures, sampling, substantive testing, working-paper standards, audit trail and evidence sufficiency.</w:t>
            </w:r>
          </w:p>
        </w:tc>
      </w:tr>
      <w:tr w:rsidR="00AB4162" w14:paraId="6DE2BF5A" w14:textId="77777777">
        <w:trPr>
          <w:jc w:val="center"/>
        </w:trPr>
        <w:tc>
          <w:tcPr>
            <w:tcW w:w="5040" w:type="dxa"/>
          </w:tcPr>
          <w:p w14:paraId="1FE81F45" w14:textId="77777777" w:rsidR="00AB4162" w:rsidRDefault="00000000">
            <w:pPr>
              <w:spacing w:after="0" w:line="240" w:lineRule="auto"/>
            </w:pPr>
            <w:r>
              <w:t>6. Procurement, Contract &amp; Payment Audit</w:t>
            </w:r>
          </w:p>
        </w:tc>
        <w:tc>
          <w:tcPr>
            <w:tcW w:w="5040" w:type="dxa"/>
          </w:tcPr>
          <w:p w14:paraId="27045FFA" w14:textId="77777777" w:rsidR="00AB4162" w:rsidRDefault="00000000">
            <w:pPr>
              <w:spacing w:after="0" w:line="240" w:lineRule="auto"/>
            </w:pPr>
            <w:r>
              <w:t>Procurement planning, quotations/tendering, bid evaluation, purchase/work orders, contract management, performance security, vendor due diligence, invoice verification, goods/services receipt, variations and extensions, payment controls, compliance testing, post-payment review.</w:t>
            </w:r>
          </w:p>
        </w:tc>
      </w:tr>
      <w:tr w:rsidR="00AB4162" w14:paraId="137C5ED3" w14:textId="77777777">
        <w:trPr>
          <w:jc w:val="center"/>
        </w:trPr>
        <w:tc>
          <w:tcPr>
            <w:tcW w:w="5040" w:type="dxa"/>
          </w:tcPr>
          <w:p w14:paraId="2ED3CF1D" w14:textId="77777777" w:rsidR="00AB4162" w:rsidRDefault="00000000">
            <w:pPr>
              <w:spacing w:after="0" w:line="240" w:lineRule="auto"/>
            </w:pPr>
            <w:r>
              <w:t>7. Financial Accounting &amp; Financial Management for Internal Auditors</w:t>
            </w:r>
          </w:p>
        </w:tc>
        <w:tc>
          <w:tcPr>
            <w:tcW w:w="5040" w:type="dxa"/>
          </w:tcPr>
          <w:p w14:paraId="0EBD6946" w14:textId="77777777" w:rsidR="00AB4162" w:rsidRDefault="00000000">
            <w:pPr>
              <w:spacing w:after="0" w:line="240" w:lineRule="auto"/>
            </w:pPr>
            <w:r>
              <w:t xml:space="preserve">Basic accounting concepts, double entry, journals/ledgers, accruals and provisions, depreciation, receivables/payables, bank reconciliation, trial balance, financial statements, budgetary control, expenditure authorization, cash/liquidity controls, advances/imprests, payroll controls, fixed assets, inventory, liabilities and commitments, basic ratio and variance analysis. This </w:t>
            </w:r>
            <w:r>
              <w:lastRenderedPageBreak/>
              <w:t>area shall be limited to a maximum of 8 questions within the 80 professional questions.</w:t>
            </w:r>
          </w:p>
        </w:tc>
      </w:tr>
      <w:tr w:rsidR="00AB4162" w14:paraId="11697144" w14:textId="77777777">
        <w:trPr>
          <w:jc w:val="center"/>
        </w:trPr>
        <w:tc>
          <w:tcPr>
            <w:tcW w:w="5040" w:type="dxa"/>
          </w:tcPr>
          <w:p w14:paraId="254E8791" w14:textId="77777777" w:rsidR="00AB4162" w:rsidRDefault="00000000">
            <w:pPr>
              <w:spacing w:after="0" w:line="240" w:lineRule="auto"/>
            </w:pPr>
            <w:r>
              <w:lastRenderedPageBreak/>
              <w:t>8. Compliance, Tax &amp; Statutory Audit Matters</w:t>
            </w:r>
          </w:p>
        </w:tc>
        <w:tc>
          <w:tcPr>
            <w:tcW w:w="5040" w:type="dxa"/>
          </w:tcPr>
          <w:p w14:paraId="50B38105" w14:textId="77777777" w:rsidR="00AB4162" w:rsidRDefault="00000000">
            <w:pPr>
              <w:spacing w:after="0" w:line="240" w:lineRule="auto"/>
            </w:pPr>
            <w:r>
              <w:t>Corporate compliance basics, income tax, sales tax, withholding taxes, EOBI and other statutory contributions, record retention, regulatory compliance, identification of non-compliance, assessment of financial and control implications.</w:t>
            </w:r>
          </w:p>
        </w:tc>
      </w:tr>
      <w:tr w:rsidR="00AB4162" w14:paraId="50F13E48" w14:textId="77777777">
        <w:trPr>
          <w:jc w:val="center"/>
        </w:trPr>
        <w:tc>
          <w:tcPr>
            <w:tcW w:w="5040" w:type="dxa"/>
          </w:tcPr>
          <w:p w14:paraId="152AE604" w14:textId="77777777" w:rsidR="00AB4162" w:rsidRDefault="00000000">
            <w:pPr>
              <w:spacing w:after="0" w:line="240" w:lineRule="auto"/>
            </w:pPr>
            <w:r>
              <w:t>9. Fraud Risk Management &amp; Investigative Audit</w:t>
            </w:r>
          </w:p>
        </w:tc>
        <w:tc>
          <w:tcPr>
            <w:tcW w:w="5040" w:type="dxa"/>
          </w:tcPr>
          <w:p w14:paraId="29C6F6A7" w14:textId="77777777" w:rsidR="00AB4162" w:rsidRDefault="00000000">
            <w:pPr>
              <w:spacing w:after="0" w:line="240" w:lineRule="auto"/>
            </w:pPr>
            <w:r>
              <w:t>Fraud risk assessment, fraud indicators and red flags, conflict-of-interest risks, procurement/payment fraud risks, investigation planning, documentation, evidence preservation, interview concepts, escalation, reporting and corrective action.</w:t>
            </w:r>
          </w:p>
        </w:tc>
      </w:tr>
      <w:tr w:rsidR="00AB4162" w14:paraId="76FA1387" w14:textId="77777777">
        <w:trPr>
          <w:jc w:val="center"/>
        </w:trPr>
        <w:tc>
          <w:tcPr>
            <w:tcW w:w="5040" w:type="dxa"/>
          </w:tcPr>
          <w:p w14:paraId="51EF3349" w14:textId="77777777" w:rsidR="00AB4162" w:rsidRDefault="00000000">
            <w:pPr>
              <w:spacing w:after="0" w:line="240" w:lineRule="auto"/>
            </w:pPr>
            <w:r>
              <w:t>10. Information Systems &amp; IT Audit</w:t>
            </w:r>
          </w:p>
        </w:tc>
        <w:tc>
          <w:tcPr>
            <w:tcW w:w="5040" w:type="dxa"/>
          </w:tcPr>
          <w:p w14:paraId="608F5D45" w14:textId="77777777" w:rsidR="00AB4162" w:rsidRDefault="00000000">
            <w:pPr>
              <w:spacing w:after="0" w:line="240" w:lineRule="auto"/>
            </w:pPr>
            <w:r>
              <w:t>ERP controls, user access, role-based permissions, segregation of IT duties, passwords/authentication, backups, change management, data integrity, audit logs, cybersecurity basics, spreadsheet controls, basic data analytics for internal audit.</w:t>
            </w:r>
          </w:p>
        </w:tc>
      </w:tr>
      <w:tr w:rsidR="00AB4162" w14:paraId="3677828E" w14:textId="77777777">
        <w:trPr>
          <w:jc w:val="center"/>
        </w:trPr>
        <w:tc>
          <w:tcPr>
            <w:tcW w:w="5040" w:type="dxa"/>
          </w:tcPr>
          <w:p w14:paraId="72CC1EB9" w14:textId="77777777" w:rsidR="00AB4162" w:rsidRDefault="00000000">
            <w:pPr>
              <w:spacing w:after="0" w:line="240" w:lineRule="auto"/>
            </w:pPr>
            <w:r>
              <w:t>11. Audit Reporting, Communication &amp; Follow-up</w:t>
            </w:r>
          </w:p>
        </w:tc>
        <w:tc>
          <w:tcPr>
            <w:tcW w:w="5040" w:type="dxa"/>
          </w:tcPr>
          <w:p w14:paraId="1BC382A4" w14:textId="77777777" w:rsidR="00AB4162" w:rsidRDefault="00000000">
            <w:pPr>
              <w:spacing w:after="0" w:line="240" w:lineRule="auto"/>
            </w:pPr>
            <w:r>
              <w:t>Audit observations, criteria, condition, cause and effect, risk rating, recommendations, management responses, exit meetings, draft/final reports, action plans, responsibility and timelines, follow-up, closure and verification of corrective actions.</w:t>
            </w:r>
          </w:p>
        </w:tc>
      </w:tr>
      <w:tr w:rsidR="00AB4162" w14:paraId="0BD5F4EF" w14:textId="77777777">
        <w:trPr>
          <w:jc w:val="center"/>
        </w:trPr>
        <w:tc>
          <w:tcPr>
            <w:tcW w:w="5040" w:type="dxa"/>
          </w:tcPr>
          <w:p w14:paraId="21D8452C" w14:textId="77777777" w:rsidR="00AB4162" w:rsidRDefault="00000000">
            <w:pPr>
              <w:spacing w:after="0" w:line="240" w:lineRule="auto"/>
            </w:pPr>
            <w:r>
              <w:t>12. Operational, Performance &amp; Value-for-Money Audit</w:t>
            </w:r>
          </w:p>
        </w:tc>
        <w:tc>
          <w:tcPr>
            <w:tcW w:w="5040" w:type="dxa"/>
          </w:tcPr>
          <w:p w14:paraId="00E27CAF" w14:textId="77777777" w:rsidR="00AB4162" w:rsidRDefault="00000000">
            <w:pPr>
              <w:spacing w:after="0" w:line="240" w:lineRule="auto"/>
            </w:pPr>
            <w:r>
              <w:t>Economy, efficiency and effectiveness, KPI review, process improvement, service delivery, utilization, performance verification, operational compliance, resource utilization, value-for-money assessment.</w:t>
            </w:r>
          </w:p>
        </w:tc>
      </w:tr>
      <w:tr w:rsidR="00AB4162" w14:paraId="1B396426" w14:textId="77777777">
        <w:trPr>
          <w:jc w:val="center"/>
        </w:trPr>
        <w:tc>
          <w:tcPr>
            <w:tcW w:w="5040" w:type="dxa"/>
          </w:tcPr>
          <w:p w14:paraId="74031658" w14:textId="47EDD829" w:rsidR="00AB4162" w:rsidRDefault="00000000">
            <w:pPr>
              <w:spacing w:after="0" w:line="240" w:lineRule="auto"/>
            </w:pPr>
            <w:r>
              <w:t>1</w:t>
            </w:r>
            <w:r w:rsidR="007267A4">
              <w:t>3</w:t>
            </w:r>
            <w:r>
              <w:t>. Audit Ethics, Professional Judgment &amp; Communication</w:t>
            </w:r>
          </w:p>
        </w:tc>
        <w:tc>
          <w:tcPr>
            <w:tcW w:w="5040" w:type="dxa"/>
          </w:tcPr>
          <w:p w14:paraId="357D191E" w14:textId="77777777" w:rsidR="00AB4162" w:rsidRDefault="00000000">
            <w:pPr>
              <w:spacing w:after="0" w:line="240" w:lineRule="auto"/>
            </w:pPr>
            <w:r>
              <w:t>Integrity, objectivity, independence, professional skepticism, conflict of interest, confidentiality, issue identification, risk-based judgment, concise audit writing, communication with management, handling disagreement and escalation.</w:t>
            </w:r>
          </w:p>
        </w:tc>
      </w:tr>
    </w:tbl>
    <w:p w14:paraId="03C3CDE4" w14:textId="4E10DF5D" w:rsidR="00AB4162" w:rsidRDefault="00000000">
      <w:pPr>
        <w:pStyle w:val="Heading1"/>
      </w:pPr>
      <w:r>
        <w:t xml:space="preserve">D. General Knowledge &amp; Current Affairs </w:t>
      </w:r>
    </w:p>
    <w:p w14:paraId="09BE4D44" w14:textId="77777777" w:rsidR="00AB4162" w:rsidRDefault="00000000">
      <w:r>
        <w:t>Pakistan affairs, Constitution and major national institutions, geography and history, economy and major economic indicators, international organizations, major national and international developments, current affairs of relevance to Pakistan and the public/health sector. Suggested coverage window: major developments during the preceding 12 months.</w:t>
      </w:r>
    </w:p>
    <w:p w14:paraId="64A6EE56" w14:textId="6F709BAB" w:rsidR="00AB4162" w:rsidRDefault="00000000">
      <w:pPr>
        <w:pStyle w:val="Heading1"/>
      </w:pPr>
      <w:r>
        <w:t xml:space="preserve">E. English Language &amp; Basic Composition </w:t>
      </w:r>
    </w:p>
    <w:p w14:paraId="731241C4" w14:textId="77777777" w:rsidR="00AB4162" w:rsidRDefault="00000000">
      <w:r>
        <w:t>Grammar, sentence correction, vocabulary, synonyms/antonyms, comprehension, punctuation, correct usage, sentence completion, basic paragraph and official-correspondence comprehension.</w:t>
      </w:r>
    </w:p>
    <w:p w14:paraId="1E71E4F5" w14:textId="03F880C4" w:rsidR="00AB4162" w:rsidRDefault="00000000">
      <w:pPr>
        <w:pStyle w:val="Heading1"/>
      </w:pPr>
      <w:r>
        <w:t xml:space="preserve">F. Basic Computer / IT Skills </w:t>
      </w:r>
    </w:p>
    <w:p w14:paraId="12693C16" w14:textId="77777777" w:rsidR="00AB4162" w:rsidRDefault="00000000">
      <w:r>
        <w:t>MS Word, MS Excel basics, PowerPoint basics, email and internet, file/folder management, basic cybersecurity, passwords, data backup, spreadsheets, sorting/filtering and simple formulas, basic digital record handling.</w:t>
      </w:r>
    </w:p>
    <w:p w14:paraId="6A32CA7E" w14:textId="77777777" w:rsidR="00AB4162" w:rsidRDefault="00000000">
      <w:pPr>
        <w:pStyle w:val="Heading1"/>
      </w:pPr>
      <w:r>
        <w:t>Recommended Question Design</w:t>
      </w:r>
    </w:p>
    <w:p w14:paraId="398F2DF3" w14:textId="77777777" w:rsidR="00AB4162" w:rsidRDefault="00000000">
      <w:r>
        <w:t xml:space="preserve">Professional questions should include a balanced mix of conceptual and scenario-based MCQs. Legal Advisor questions should include short fact patterns requiring identification of the applicable law, remedy or compliance requirement. Internal Audit Officer questions should include control, risk, transaction-review, procurement/payment, fraud-risk, IT-control and audit-judgment scenarios. Accounting and financial-management </w:t>
      </w:r>
      <w:r>
        <w:lastRenderedPageBreak/>
        <w:t>questions should be directly relevant to internal audit work and should not exceed 8 of the 80 professional questions.</w:t>
      </w:r>
    </w:p>
    <w:sectPr w:rsidR="00AB4162">
      <w:headerReference w:type="default" r:id="rId8"/>
      <w:footerReference w:type="default" r:id="rId9"/>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22401" w14:textId="77777777" w:rsidR="003A2525" w:rsidRDefault="003A2525">
      <w:pPr>
        <w:spacing w:line="240" w:lineRule="auto"/>
      </w:pPr>
      <w:r>
        <w:separator/>
      </w:r>
    </w:p>
  </w:endnote>
  <w:endnote w:type="continuationSeparator" w:id="0">
    <w:p w14:paraId="7F69E4E7" w14:textId="77777777" w:rsidR="003A2525" w:rsidRDefault="003A25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13C0" w14:textId="77777777" w:rsidR="00DA7D14" w:rsidRDefault="00DA7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8195C" w14:textId="77777777" w:rsidR="003A2525" w:rsidRDefault="003A2525">
      <w:pPr>
        <w:spacing w:after="0"/>
      </w:pPr>
      <w:r>
        <w:separator/>
      </w:r>
    </w:p>
  </w:footnote>
  <w:footnote w:type="continuationSeparator" w:id="0">
    <w:p w14:paraId="720B4F7C" w14:textId="77777777" w:rsidR="003A2525" w:rsidRDefault="003A252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4293" w14:textId="77777777" w:rsidR="00DA7D14" w:rsidRDefault="00DA7D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16cid:durableId="1954364542">
    <w:abstractNumId w:val="5"/>
  </w:num>
  <w:num w:numId="2" w16cid:durableId="630139006">
    <w:abstractNumId w:val="3"/>
  </w:num>
  <w:num w:numId="3" w16cid:durableId="333648870">
    <w:abstractNumId w:val="2"/>
  </w:num>
  <w:num w:numId="4" w16cid:durableId="478234584">
    <w:abstractNumId w:val="4"/>
  </w:num>
  <w:num w:numId="5" w16cid:durableId="475028220">
    <w:abstractNumId w:val="1"/>
  </w:num>
  <w:num w:numId="6" w16cid:durableId="224992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4099"/>
    <w:rsid w:val="0015074B"/>
    <w:rsid w:val="00152B84"/>
    <w:rsid w:val="001C0DCF"/>
    <w:rsid w:val="0029639D"/>
    <w:rsid w:val="00326F90"/>
    <w:rsid w:val="003A2525"/>
    <w:rsid w:val="005B4527"/>
    <w:rsid w:val="006C30A3"/>
    <w:rsid w:val="007267A4"/>
    <w:rsid w:val="00766712"/>
    <w:rsid w:val="007E0721"/>
    <w:rsid w:val="00AA1D8D"/>
    <w:rsid w:val="00AB4162"/>
    <w:rsid w:val="00B47730"/>
    <w:rsid w:val="00CB0664"/>
    <w:rsid w:val="00D21E6D"/>
    <w:rsid w:val="00DA20DF"/>
    <w:rsid w:val="00DA7D14"/>
    <w:rsid w:val="00E34F12"/>
    <w:rsid w:val="00E41EB4"/>
    <w:rsid w:val="00EC3484"/>
    <w:rsid w:val="00FC693F"/>
    <w:rsid w:val="2E1647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85D6E3"/>
  <w14:defaultImageDpi w14:val="300"/>
  <w15:docId w15:val="{147B6A7B-CA3F-442B-BD8E-D61F8A46E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qFormat="1"/>
    <w:lsdException w:name="Light Grid" w:uiPriority="62"/>
    <w:lsdException w:name="Medium Shading 1" w:uiPriority="63" w:qFormat="1"/>
    <w:lsdException w:name="Medium Shading 2" w:uiPriority="64" w:qFormat="1"/>
    <w:lsdException w:name="Medium List 1" w:uiPriority="65"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lsdException w:name="Light Grid Accent 2" w:uiPriority="62" w:qFormat="1"/>
    <w:lsdException w:name="Medium Shading 1 Accent 2" w:uiPriority="63" w:qFormat="1"/>
    <w:lsdException w:name="Medium Shading 2 Accent 2" w:uiPriority="64" w:qFormat="1"/>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lsdException w:name="Medium List 2 Accent 4" w:uiPriority="66"/>
    <w:lsdException w:name="Medium Grid 1 Accent 4" w:uiPriority="67" w:qFormat="1"/>
    <w:lsdException w:name="Medium Grid 2 Accent 4" w:uiPriority="68"/>
    <w:lsdException w:name="Medium Grid 3 Accent 4" w:uiPriority="69"/>
    <w:lsdException w:name="Dark List Accent 4" w:uiPriority="70"/>
    <w:lsdException w:name="Colorful Shading Accent 4" w:uiPriority="71" w:qFormat="1"/>
    <w:lsdException w:name="Colorful List Accent 4" w:uiPriority="72"/>
    <w:lsdException w:name="Colorful Grid Accent 4" w:uiPriority="73"/>
    <w:lsdException w:name="Light Shading Accent 5" w:uiPriority="60" w:qFormat="1"/>
    <w:lsdException w:name="Light List Accent 5" w:uiPriority="61"/>
    <w:lsdException w:name="Light Grid Accent 5" w:uiPriority="62" w:qFormat="1"/>
    <w:lsdException w:name="Medium Shading 1 Accent 5" w:uiPriority="63" w:qFormat="1"/>
    <w:lsdException w:name="Medium Shading 2 Accent 5" w:uiPriority="64" w:qFormat="1"/>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qFormat="1"/>
    <w:lsdException w:name="Colorful List Accent 5" w:uiPriority="72"/>
    <w:lsdException w:name="Colorful Grid Accent 5" w:uiPriority="73"/>
    <w:lsdException w:name="Light Shading Accent 6" w:uiPriority="60"/>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lsdException w:name="Medium List 2 Accent 6" w:uiPriority="66"/>
    <w:lsdException w:name="Medium Grid 1 Accent 6" w:uiPriority="67" w:qFormat="1"/>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Arial" w:hAnsi="Arial"/>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style>
  <w:style w:type="paragraph" w:styleId="BodyText2">
    <w:name w:val="Body Text 2"/>
    <w:basedOn w:val="Normal"/>
    <w:link w:val="BodyText2Char"/>
    <w:uiPriority w:val="99"/>
    <w:unhideWhenUsed/>
    <w:qFormat/>
    <w:pPr>
      <w:spacing w:after="120" w:line="480" w:lineRule="auto"/>
    </w:pPr>
  </w:style>
  <w:style w:type="paragraph" w:styleId="BodyText3">
    <w:name w:val="Body Text 3"/>
    <w:basedOn w:val="Normal"/>
    <w:link w:val="BodyText3Char"/>
    <w:uiPriority w:val="99"/>
    <w:unhideWhenUsed/>
    <w:qFormat/>
    <w:pPr>
      <w:spacing w:after="120"/>
    </w:pPr>
    <w:rPr>
      <w:sz w:val="16"/>
      <w:szCs w:val="16"/>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
    <w:name w:val="List"/>
    <w:basedOn w:val="Normal"/>
    <w:uiPriority w:val="99"/>
    <w:unhideWhenUsed/>
    <w:qFormat/>
    <w:pPr>
      <w:ind w:left="360" w:hanging="360"/>
      <w:contextualSpacing/>
    </w:pPr>
  </w:style>
  <w:style w:type="paragraph" w:styleId="List2">
    <w:name w:val="List 2"/>
    <w:basedOn w:val="Normal"/>
    <w:uiPriority w:val="99"/>
    <w:unhideWhenUsed/>
    <w:qFormat/>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qFormat/>
    <w:pPr>
      <w:numPr>
        <w:numId w:val="1"/>
      </w:numPr>
      <w:contextualSpacing/>
    </w:pPr>
  </w:style>
  <w:style w:type="paragraph" w:styleId="ListBullet2">
    <w:name w:val="List Bullet 2"/>
    <w:basedOn w:val="Normal"/>
    <w:uiPriority w:val="99"/>
    <w:unhideWhenUsed/>
    <w:qFormat/>
    <w:pPr>
      <w:numPr>
        <w:numId w:val="2"/>
      </w:numPr>
      <w:contextualSpacing/>
    </w:pPr>
  </w:style>
  <w:style w:type="paragraph" w:styleId="ListBullet3">
    <w:name w:val="List Bullet 3"/>
    <w:basedOn w:val="Normal"/>
    <w:uiPriority w:val="99"/>
    <w:unhideWhenUsed/>
    <w:qFormat/>
    <w:pPr>
      <w:numPr>
        <w:numId w:val="3"/>
      </w:numPr>
      <w:contextualSpacing/>
    </w:pPr>
  </w:style>
  <w:style w:type="paragraph" w:styleId="ListContinue">
    <w:name w:val="List Continue"/>
    <w:basedOn w:val="Normal"/>
    <w:uiPriority w:val="99"/>
    <w:unhideWhenUsed/>
    <w:qFormat/>
    <w:pPr>
      <w:spacing w:after="120"/>
      <w:ind w:left="360"/>
      <w:contextualSpacing/>
    </w:pPr>
  </w:style>
  <w:style w:type="paragraph" w:styleId="ListContinue2">
    <w:name w:val="List Continue 2"/>
    <w:basedOn w:val="Normal"/>
    <w:uiPriority w:val="99"/>
    <w:unhideWhenUsed/>
    <w:qFormat/>
    <w:pPr>
      <w:spacing w:after="120"/>
      <w:ind w:left="720"/>
      <w:contextualSpacing/>
    </w:pPr>
  </w:style>
  <w:style w:type="paragraph" w:styleId="ListContinue3">
    <w:name w:val="List Continue 3"/>
    <w:basedOn w:val="Normal"/>
    <w:uiPriority w:val="99"/>
    <w:unhideWhenUsed/>
    <w:qFormat/>
    <w:pPr>
      <w:spacing w:after="120"/>
      <w:ind w:left="1080"/>
      <w:contextualSpacing/>
    </w:pPr>
  </w:style>
  <w:style w:type="paragraph" w:styleId="ListNumber">
    <w:name w:val="List Number"/>
    <w:basedOn w:val="Normal"/>
    <w:uiPriority w:val="99"/>
    <w:unhideWhenUsed/>
    <w:qFormat/>
    <w:pPr>
      <w:numPr>
        <w:numId w:val="4"/>
      </w:numPr>
      <w:contextualSpacing/>
    </w:pPr>
  </w:style>
  <w:style w:type="paragraph" w:styleId="ListNumber2">
    <w:name w:val="List Number 2"/>
    <w:basedOn w:val="Normal"/>
    <w:uiPriority w:val="99"/>
    <w:unhideWhenUsed/>
    <w:qFormat/>
    <w:pPr>
      <w:numPr>
        <w:numId w:val="5"/>
      </w:numPr>
      <w:contextualSpacing/>
    </w:pPr>
  </w:style>
  <w:style w:type="paragraph" w:styleId="ListNumber3">
    <w:name w:val="List Number 3"/>
    <w:basedOn w:val="Normal"/>
    <w:uiPriority w:val="99"/>
    <w:unhideWhenUsed/>
    <w:qFormat/>
    <w:pPr>
      <w:numPr>
        <w:numId w:val="6"/>
      </w:numPr>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2"/>
      <w:szCs w:val="52"/>
    </w:rPr>
  </w:style>
  <w:style w:type="table" w:styleId="LightShading">
    <w:name w:val="Light Shading"/>
    <w:basedOn w:val="Table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sz w:val="22"/>
      <w:szCs w:val="2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style>
  <w:style w:type="character" w:customStyle="1" w:styleId="BodyText2Char">
    <w:name w:val="Body Text 2 Char"/>
    <w:basedOn w:val="DefaultParagraphFont"/>
    <w:link w:val="BodyText2"/>
    <w:uiPriority w:val="99"/>
    <w:qFormat/>
  </w:style>
  <w:style w:type="character" w:customStyle="1" w:styleId="BodyText3Char">
    <w:name w:val="Body Text 3 Char"/>
    <w:basedOn w:val="DefaultParagraphFont"/>
    <w:link w:val="BodyText3"/>
    <w:uiPriority w:val="99"/>
    <w:rPr>
      <w:sz w:val="16"/>
      <w:szCs w:val="16"/>
    </w:rPr>
  </w:style>
  <w:style w:type="character" w:customStyle="1" w:styleId="MacroTextChar">
    <w:name w:val="Macro Text Char"/>
    <w:basedOn w:val="DefaultParagraphFont"/>
    <w:link w:val="MacroText"/>
    <w:uiPriority w:val="99"/>
    <w:qFormat/>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qFormat/>
    <w:rPr>
      <w:i/>
      <w:iCs/>
      <w:color w:val="000000" w:themeColor="text1"/>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qFormat/>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1394</Words>
  <Characters>7951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DHR</cp:lastModifiedBy>
  <cp:revision>6</cp:revision>
  <dcterms:created xsi:type="dcterms:W3CDTF">2013-12-23T23:15:00Z</dcterms:created>
  <dcterms:modified xsi:type="dcterms:W3CDTF">2026-08-25T10:59:00Z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BF29D34341114D30AEA71517AD3BAF77_13</vt:lpwstr>
  </property>
</Properties>
</file>